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Отечественная и зарубежная литература</w:t>
            </w:r>
          </w:p>
          <w:p>
            <w:pPr>
              <w:jc w:val="center"/>
              <w:spacing w:after="0" w:line="240" w:lineRule="auto"/>
              <w:rPr>
                <w:sz w:val="22"/>
                <w:szCs w:val="22"/>
              </w:rPr>
            </w:pPr>
            <w:r>
              <w:rPr>
                <w:rFonts w:ascii="Times New Roman" w:hAnsi="Times New Roman" w:cs="Times New Roman"/>
                <w:color w:val="#000000"/>
                <w:sz w:val="22"/>
                <w:szCs w:val="22"/>
              </w:rPr>
              <w:t> Педагогика школы</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детей с нарушениями речи</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41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10.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26.8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2023-2024_ФГОС3++2023_Бак-ЗФО-СДО(Логопедия)(23)_plx_Философия</dc:title>
  <dc:creator>FastReport.NET</dc:creator>
</cp:coreProperties>
</file>